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61A1" w14:textId="6ECCCCFF" w:rsidR="009559E2" w:rsidRDefault="6F5DBB09" w:rsidP="0F64136A">
      <w:r>
        <w:rPr>
          <w:noProof/>
        </w:rPr>
        <w:drawing>
          <wp:inline distT="0" distB="0" distL="0" distR="0" wp14:anchorId="3CCDF7EF" wp14:editId="42F78455">
            <wp:extent cx="2857500" cy="352425"/>
            <wp:effectExtent l="0" t="0" r="0" b="0"/>
            <wp:docPr id="758340206" name="Picture 75834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857500" cy="352425"/>
                    </a:xfrm>
                    <a:prstGeom prst="rect">
                      <a:avLst/>
                    </a:prstGeom>
                  </pic:spPr>
                </pic:pic>
              </a:graphicData>
            </a:graphic>
          </wp:inline>
        </w:drawing>
      </w:r>
    </w:p>
    <w:p w14:paraId="2A4317B8" w14:textId="43F5AF14" w:rsidR="009559E2" w:rsidRDefault="6F5DBB09" w:rsidP="64D49F26">
      <w:pPr>
        <w:rPr>
          <w:rFonts w:ascii="Trebuchet MS" w:eastAsia="Trebuchet MS" w:hAnsi="Trebuchet MS" w:cs="Trebuchet MS"/>
          <w:color w:val="1F3864" w:themeColor="accent1" w:themeShade="80"/>
          <w:sz w:val="74"/>
          <w:szCs w:val="74"/>
        </w:rPr>
      </w:pPr>
      <w:r>
        <w:rPr>
          <w:noProof/>
        </w:rPr>
        <w:drawing>
          <wp:anchor distT="0" distB="0" distL="114300" distR="114300" simplePos="0" relativeHeight="251658240" behindDoc="0" locked="0" layoutInCell="1" allowOverlap="1" wp14:anchorId="5CE84DE9" wp14:editId="0A64DB1B">
            <wp:simplePos x="0" y="0"/>
            <wp:positionH relativeFrom="column">
              <wp:align>left</wp:align>
            </wp:positionH>
            <wp:positionV relativeFrom="paragraph">
              <wp:posOffset>0</wp:posOffset>
            </wp:positionV>
            <wp:extent cx="1169508" cy="1135936"/>
            <wp:effectExtent l="0" t="0" r="0" b="0"/>
            <wp:wrapSquare wrapText="bothSides"/>
            <wp:docPr id="1543829602" name="Picture 1543829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r="31363"/>
                    <a:stretch>
                      <a:fillRect/>
                    </a:stretch>
                  </pic:blipFill>
                  <pic:spPr>
                    <a:xfrm>
                      <a:off x="0" y="0"/>
                      <a:ext cx="1169508" cy="1135936"/>
                    </a:xfrm>
                    <a:prstGeom prst="rect">
                      <a:avLst/>
                    </a:prstGeom>
                  </pic:spPr>
                </pic:pic>
              </a:graphicData>
            </a:graphic>
            <wp14:sizeRelH relativeFrom="page">
              <wp14:pctWidth>0</wp14:pctWidth>
            </wp14:sizeRelH>
            <wp14:sizeRelV relativeFrom="page">
              <wp14:pctHeight>0</wp14:pctHeight>
            </wp14:sizeRelV>
          </wp:anchor>
        </w:drawing>
      </w:r>
      <w:r w:rsidRPr="64D49F26">
        <w:rPr>
          <w:rFonts w:ascii="Trebuchet MS" w:eastAsia="Trebuchet MS" w:hAnsi="Trebuchet MS" w:cs="Trebuchet MS"/>
          <w:b/>
          <w:bCs/>
          <w:color w:val="1F3864" w:themeColor="accent1" w:themeShade="80"/>
          <w:sz w:val="74"/>
          <w:szCs w:val="74"/>
        </w:rPr>
        <w:t xml:space="preserve">UKCA Marking     </w:t>
      </w:r>
      <w:r w:rsidRPr="64D49F26">
        <w:rPr>
          <w:rFonts w:ascii="Trebuchet MS" w:eastAsia="Trebuchet MS" w:hAnsi="Trebuchet MS" w:cs="Trebuchet MS"/>
          <w:b/>
          <w:bCs/>
          <w:color w:val="1F3864" w:themeColor="accent1" w:themeShade="80"/>
          <w:sz w:val="72"/>
          <w:szCs w:val="72"/>
        </w:rPr>
        <w:t>Updated Guidance</w:t>
      </w:r>
    </w:p>
    <w:p w14:paraId="44BA24A7" w14:textId="1CAF51CF" w:rsidR="009559E2" w:rsidRDefault="6F5DBB09" w:rsidP="3CCF64CF">
      <w:pPr>
        <w:rPr>
          <w:rFonts w:ascii="Trebuchet MS" w:eastAsia="Trebuchet MS" w:hAnsi="Trebuchet MS" w:cs="Trebuchet MS"/>
          <w:color w:val="000000" w:themeColor="text1"/>
        </w:rPr>
      </w:pPr>
      <w:r w:rsidRPr="3CCF64CF">
        <w:rPr>
          <w:rStyle w:val="eop"/>
          <w:rFonts w:ascii="Trebuchet MS" w:eastAsia="Trebuchet MS" w:hAnsi="Trebuchet MS" w:cs="Trebuchet MS"/>
          <w:color w:val="2D2767"/>
        </w:rPr>
        <w:t>There has been extensive engagement with industry to understand the challenges businesses face as they adopt the new UK regulatory regime for goods. The UK Government wants to be pragmatic and support businesses where possible.</w:t>
      </w:r>
    </w:p>
    <w:p w14:paraId="0F6DBF68" w14:textId="727F3D2F" w:rsidR="009559E2" w:rsidRDefault="6F5DBB09" w:rsidP="3CCF64CF">
      <w:pPr>
        <w:rPr>
          <w:rStyle w:val="eop"/>
          <w:rFonts w:ascii="Trebuchet MS" w:eastAsia="Trebuchet MS" w:hAnsi="Trebuchet MS" w:cs="Trebuchet MS"/>
          <w:color w:val="000000" w:themeColor="text1"/>
          <w:sz w:val="24"/>
          <w:szCs w:val="24"/>
        </w:rPr>
      </w:pPr>
      <w:r w:rsidRPr="04E856D1">
        <w:rPr>
          <w:rStyle w:val="eop"/>
          <w:rFonts w:ascii="Trebuchet MS" w:eastAsia="Trebuchet MS" w:hAnsi="Trebuchet MS" w:cs="Trebuchet MS"/>
          <w:color w:val="2D2767"/>
        </w:rPr>
        <w:t>Therefore, further measures have been introduced to support businesses adopting the UKCA marking.</w:t>
      </w:r>
    </w:p>
    <w:p w14:paraId="0707E543" w14:textId="05501509" w:rsidR="7B8C6707" w:rsidRDefault="7B8C6707" w:rsidP="04E856D1">
      <w:pPr>
        <w:rPr>
          <w:rStyle w:val="eop"/>
          <w:rFonts w:ascii="Trebuchet MS" w:eastAsia="Trebuchet MS" w:hAnsi="Trebuchet MS" w:cs="Trebuchet MS"/>
          <w:color w:val="2D2767"/>
          <w:sz w:val="20"/>
          <w:szCs w:val="20"/>
        </w:rPr>
      </w:pPr>
      <w:r w:rsidRPr="04E856D1">
        <w:rPr>
          <w:rStyle w:val="eop"/>
          <w:rFonts w:ascii="Trebuchet MS" w:eastAsia="Trebuchet MS" w:hAnsi="Trebuchet MS" w:cs="Trebuchet MS"/>
          <w:color w:val="FFFFFF" w:themeColor="background1"/>
          <w:highlight w:val="red"/>
        </w:rPr>
        <w:t>EXCEPTIONS:</w:t>
      </w:r>
      <w:r w:rsidRPr="04E856D1">
        <w:rPr>
          <w:rStyle w:val="eop"/>
          <w:rFonts w:ascii="Trebuchet MS" w:eastAsia="Trebuchet MS" w:hAnsi="Trebuchet MS" w:cs="Trebuchet MS"/>
          <w:color w:val="2D2767"/>
        </w:rPr>
        <w:t xml:space="preserve"> These changes </w:t>
      </w:r>
      <w:r w:rsidRPr="04E856D1">
        <w:rPr>
          <w:rStyle w:val="eop"/>
          <w:rFonts w:ascii="Trebuchet MS" w:eastAsia="Trebuchet MS" w:hAnsi="Trebuchet MS" w:cs="Trebuchet MS"/>
          <w:b/>
          <w:bCs/>
          <w:color w:val="2D2767"/>
        </w:rPr>
        <w:t>do not apply</w:t>
      </w:r>
      <w:r w:rsidRPr="04E856D1">
        <w:rPr>
          <w:rStyle w:val="eop"/>
          <w:rFonts w:ascii="Trebuchet MS" w:eastAsia="Trebuchet MS" w:hAnsi="Trebuchet MS" w:cs="Trebuchet MS"/>
          <w:color w:val="2D2767"/>
        </w:rPr>
        <w:t xml:space="preserve"> to medical devices, construction products, cableways, unmanned aircraft systems, transportable pressure equipment, rail products and marine equipment. Departments responsible for these sectors are making sector specific arrangements.</w:t>
      </w:r>
    </w:p>
    <w:p w14:paraId="03D67204" w14:textId="0EF7A476" w:rsidR="009559E2" w:rsidRDefault="6F5DBB09" w:rsidP="3CCF64CF">
      <w:pPr>
        <w:rPr>
          <w:rStyle w:val="eop"/>
          <w:rFonts w:ascii="Trebuchet MS" w:eastAsia="Trebuchet MS" w:hAnsi="Trebuchet MS" w:cs="Trebuchet MS"/>
          <w:b/>
          <w:bCs/>
          <w:color w:val="000000" w:themeColor="text1"/>
          <w:sz w:val="24"/>
          <w:szCs w:val="24"/>
        </w:rPr>
      </w:pPr>
      <w:r w:rsidRPr="3CCF64CF">
        <w:rPr>
          <w:rStyle w:val="eop"/>
          <w:rFonts w:ascii="Trebuchet MS" w:eastAsia="Trebuchet MS" w:hAnsi="Trebuchet MS" w:cs="Trebuchet MS"/>
          <w:b/>
          <w:bCs/>
          <w:color w:val="2D2767"/>
        </w:rPr>
        <w:t>The four new policy measures are outlined below:</w:t>
      </w:r>
    </w:p>
    <w:p w14:paraId="6F7CD8F6" w14:textId="25334C1B" w:rsidR="009559E2" w:rsidRDefault="6F5DBB09" w:rsidP="3CCF64CF">
      <w:pPr>
        <w:rPr>
          <w:rStyle w:val="eop"/>
          <w:rFonts w:ascii="Trebuchet MS" w:eastAsia="Trebuchet MS" w:hAnsi="Trebuchet MS" w:cs="Trebuchet MS"/>
          <w:b/>
          <w:bCs/>
          <w:color w:val="FFFFFF" w:themeColor="background1"/>
          <w:sz w:val="28"/>
          <w:szCs w:val="28"/>
          <w:highlight w:val="red"/>
        </w:rPr>
      </w:pPr>
      <w:r w:rsidRPr="3CCF64CF">
        <w:rPr>
          <w:rStyle w:val="eop"/>
          <w:rFonts w:ascii="Trebuchet MS" w:eastAsia="Trebuchet MS" w:hAnsi="Trebuchet MS" w:cs="Trebuchet MS"/>
          <w:b/>
          <w:bCs/>
          <w:color w:val="FFFFFF" w:themeColor="background1"/>
          <w:sz w:val="28"/>
          <w:szCs w:val="28"/>
          <w:highlight w:val="red"/>
        </w:rPr>
        <w:t>RETESTING</w:t>
      </w:r>
    </w:p>
    <w:p w14:paraId="731D3565" w14:textId="1D18ED4B" w:rsidR="009559E2" w:rsidRDefault="404A327E" w:rsidP="3CCF64CF">
      <w:pPr>
        <w:rPr>
          <w:rStyle w:val="eop"/>
          <w:rFonts w:ascii="Trebuchet MS" w:eastAsia="Trebuchet MS" w:hAnsi="Trebuchet MS" w:cs="Trebuchet MS"/>
          <w:color w:val="000000" w:themeColor="text1"/>
          <w:sz w:val="24"/>
          <w:szCs w:val="24"/>
        </w:rPr>
      </w:pPr>
      <w:r w:rsidRPr="3CCF64CF">
        <w:rPr>
          <w:rStyle w:val="eop"/>
          <w:rFonts w:ascii="Trebuchet MS" w:eastAsia="Trebuchet MS" w:hAnsi="Trebuchet MS" w:cs="Trebuchet MS"/>
          <w:color w:val="2D2767"/>
        </w:rPr>
        <w:t xml:space="preserve">We will reduce re-testing costs for UKCA certification, </w:t>
      </w:r>
      <w:r w:rsidR="296C55D1" w:rsidRPr="3CCF64CF">
        <w:rPr>
          <w:rStyle w:val="eop"/>
          <w:rFonts w:ascii="Trebuchet MS" w:eastAsia="Trebuchet MS" w:hAnsi="Trebuchet MS" w:cs="Trebuchet MS"/>
          <w:color w:val="2D2767"/>
        </w:rPr>
        <w:t xml:space="preserve">by allowing conformity assessment activities for CE marking completed by the 31 December 2022 to be used by manufactures as the basis for UKCA marking. This will reduce the immediate costs faced by manufacturers and will be valid until the expiry of their certificate or for 5 years (31 December 2027), whichever is sooner. This will reduce duplication and costs for businesses and by extension, consumers.   </w:t>
      </w:r>
    </w:p>
    <w:p w14:paraId="5D2F6F2A" w14:textId="01D5671F" w:rsidR="009559E2" w:rsidRDefault="6F5DBB09" w:rsidP="3CCF64CF">
      <w:pPr>
        <w:rPr>
          <w:rFonts w:ascii="Trebuchet MS" w:eastAsia="Trebuchet MS" w:hAnsi="Trebuchet MS" w:cs="Trebuchet MS"/>
          <w:b/>
          <w:bCs/>
          <w:color w:val="FFFFFF" w:themeColor="background1"/>
          <w:sz w:val="28"/>
          <w:szCs w:val="28"/>
          <w:highlight w:val="red"/>
        </w:rPr>
      </w:pPr>
      <w:r w:rsidRPr="3CCF64CF">
        <w:rPr>
          <w:rFonts w:ascii="Trebuchet MS" w:eastAsia="Trebuchet MS" w:hAnsi="Trebuchet MS" w:cs="Trebuchet MS"/>
          <w:b/>
          <w:bCs/>
          <w:color w:val="FFFFFF" w:themeColor="background1"/>
          <w:sz w:val="28"/>
          <w:szCs w:val="28"/>
          <w:highlight w:val="red"/>
        </w:rPr>
        <w:t>EXISTING STOCK</w:t>
      </w:r>
    </w:p>
    <w:p w14:paraId="36D35158" w14:textId="538C1BAF" w:rsidR="009559E2" w:rsidRDefault="6F5DBB09" w:rsidP="3CCF64CF">
      <w:pPr>
        <w:rPr>
          <w:rFonts w:ascii="Trebuchet MS" w:eastAsia="Trebuchet MS" w:hAnsi="Trebuchet MS" w:cs="Trebuchet MS"/>
          <w:color w:val="000000" w:themeColor="text1"/>
        </w:rPr>
      </w:pPr>
      <w:r w:rsidRPr="3CCF64CF">
        <w:rPr>
          <w:rFonts w:ascii="Trebuchet MS" w:eastAsia="Trebuchet MS" w:hAnsi="Trebuchet MS" w:cs="Trebuchet MS"/>
          <w:color w:val="2D2767"/>
        </w:rPr>
        <w:t xml:space="preserve">We will make clear there is no need to re-test existing imported stock, as these products will be considered already placed on the market In Great Britain (GB). This will prevent the costly, and unnecessary re-labelling of existing stock for businesses.  </w:t>
      </w:r>
    </w:p>
    <w:p w14:paraId="6A45A3C2" w14:textId="6993C09A" w:rsidR="009559E2" w:rsidRDefault="6F5DBB09" w:rsidP="3CCF64CF">
      <w:pPr>
        <w:rPr>
          <w:rFonts w:ascii="Trebuchet MS" w:eastAsia="Trebuchet MS" w:hAnsi="Trebuchet MS" w:cs="Trebuchet MS"/>
          <w:b/>
          <w:bCs/>
          <w:color w:val="FFFFFF" w:themeColor="background1"/>
          <w:sz w:val="28"/>
          <w:szCs w:val="28"/>
          <w:highlight w:val="red"/>
        </w:rPr>
      </w:pPr>
      <w:r w:rsidRPr="3CCF64CF">
        <w:rPr>
          <w:rFonts w:ascii="Trebuchet MS" w:eastAsia="Trebuchet MS" w:hAnsi="Trebuchet MS" w:cs="Trebuchet MS"/>
          <w:b/>
          <w:bCs/>
          <w:color w:val="FFFFFF" w:themeColor="background1"/>
          <w:sz w:val="28"/>
          <w:szCs w:val="28"/>
          <w:highlight w:val="red"/>
        </w:rPr>
        <w:t>SPARE PARTS</w:t>
      </w:r>
    </w:p>
    <w:p w14:paraId="2A8148FE" w14:textId="1A731A3E" w:rsidR="009559E2" w:rsidRDefault="6F5DBB09" w:rsidP="3CCF64CF">
      <w:pPr>
        <w:rPr>
          <w:rFonts w:ascii="Trebuchet MS" w:eastAsia="Trebuchet MS" w:hAnsi="Trebuchet MS" w:cs="Trebuchet MS"/>
          <w:color w:val="000000" w:themeColor="text1"/>
        </w:rPr>
      </w:pPr>
      <w:r w:rsidRPr="3CCF64CF">
        <w:rPr>
          <w:rFonts w:ascii="Trebuchet MS" w:eastAsia="Trebuchet MS" w:hAnsi="Trebuchet MS" w:cs="Trebuchet MS"/>
          <w:color w:val="2D2767"/>
        </w:rPr>
        <w:t xml:space="preserve">We will make clear that spare parts that repair, replace or maintain goods already on the GB market can meet the same requirements that were in place at the time the original product or system was placed on the GB market. This will allow products and goods requiring spare parts to continue to be maintained.  </w:t>
      </w:r>
    </w:p>
    <w:p w14:paraId="6853030B" w14:textId="3E833FB7" w:rsidR="009559E2" w:rsidRDefault="6F5DBB09" w:rsidP="3CCF64CF">
      <w:pPr>
        <w:rPr>
          <w:rFonts w:ascii="Trebuchet MS" w:eastAsia="Trebuchet MS" w:hAnsi="Trebuchet MS" w:cs="Trebuchet MS"/>
          <w:b/>
          <w:bCs/>
          <w:color w:val="FFFFFF" w:themeColor="background1"/>
          <w:sz w:val="28"/>
          <w:szCs w:val="28"/>
          <w:highlight w:val="red"/>
        </w:rPr>
      </w:pPr>
      <w:r w:rsidRPr="3CCF64CF">
        <w:rPr>
          <w:rFonts w:ascii="Trebuchet MS" w:eastAsia="Trebuchet MS" w:hAnsi="Trebuchet MS" w:cs="Trebuchet MS"/>
          <w:b/>
          <w:bCs/>
          <w:color w:val="FFFFFF" w:themeColor="background1"/>
          <w:sz w:val="28"/>
          <w:szCs w:val="28"/>
          <w:highlight w:val="red"/>
        </w:rPr>
        <w:t>LABELLING</w:t>
      </w:r>
    </w:p>
    <w:p w14:paraId="188E3C0C" w14:textId="0E04B462" w:rsidR="009559E2" w:rsidRDefault="6F5DBB09" w:rsidP="3CCF64CF">
      <w:pPr>
        <w:rPr>
          <w:rFonts w:ascii="Trebuchet MS" w:eastAsia="Trebuchet MS" w:hAnsi="Trebuchet MS" w:cs="Trebuchet MS"/>
          <w:color w:val="2D2767"/>
          <w:sz w:val="20"/>
          <w:szCs w:val="20"/>
        </w:rPr>
      </w:pPr>
      <w:r w:rsidRPr="64D49F26">
        <w:rPr>
          <w:rFonts w:ascii="Trebuchet MS" w:eastAsia="Trebuchet MS" w:hAnsi="Trebuchet MS" w:cs="Trebuchet MS"/>
          <w:color w:val="2D2767"/>
        </w:rPr>
        <w:t>We will continue to allow businesses to affix the UKCA marking, and to include importer information for products from EEA countries (and in some cases Switzerland), on an accompanying document or label until 31 December 2025. This will allow business to adjust their product design to accommodate marking changes at a convenient and cost-effective time.</w:t>
      </w:r>
    </w:p>
    <w:p w14:paraId="5E5787A5" w14:textId="1A9E0676" w:rsidR="009559E2" w:rsidRDefault="28603B73" w:rsidP="3CCF64CF">
      <w:pPr>
        <w:jc w:val="center"/>
        <w:rPr>
          <w:rFonts w:ascii="Trebuchet MS" w:eastAsia="Trebuchet MS" w:hAnsi="Trebuchet MS" w:cs="Trebuchet MS"/>
          <w:b/>
          <w:bCs/>
          <w:i/>
          <w:iCs/>
          <w:color w:val="4472C4" w:themeColor="accent1"/>
          <w:sz w:val="24"/>
          <w:szCs w:val="24"/>
        </w:rPr>
      </w:pPr>
      <w:r w:rsidRPr="3CCF64CF">
        <w:rPr>
          <w:rFonts w:ascii="Trebuchet MS" w:eastAsia="Trebuchet MS" w:hAnsi="Trebuchet MS" w:cs="Trebuchet MS"/>
          <w:b/>
          <w:bCs/>
          <w:i/>
          <w:iCs/>
          <w:color w:val="2D2767"/>
        </w:rPr>
        <w:t>Further information on https://www.gov.uk/guidance/using-the-ukca-marking</w:t>
      </w:r>
    </w:p>
    <w:sectPr w:rsidR="009559E2">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9D4C8"/>
    <w:multiLevelType w:val="hybridMultilevel"/>
    <w:tmpl w:val="FFFFFFFF"/>
    <w:lvl w:ilvl="0" w:tplc="89EEDDB6">
      <w:start w:val="1"/>
      <w:numFmt w:val="bullet"/>
      <w:lvlText w:val=""/>
      <w:lvlJc w:val="left"/>
      <w:pPr>
        <w:ind w:left="720" w:hanging="360"/>
      </w:pPr>
      <w:rPr>
        <w:rFonts w:ascii="Symbol" w:hAnsi="Symbol" w:hint="default"/>
      </w:rPr>
    </w:lvl>
    <w:lvl w:ilvl="1" w:tplc="0D249892">
      <w:start w:val="1"/>
      <w:numFmt w:val="bullet"/>
      <w:lvlText w:val="o"/>
      <w:lvlJc w:val="left"/>
      <w:pPr>
        <w:ind w:left="1440" w:hanging="360"/>
      </w:pPr>
      <w:rPr>
        <w:rFonts w:ascii="Courier New" w:hAnsi="Courier New" w:hint="default"/>
      </w:rPr>
    </w:lvl>
    <w:lvl w:ilvl="2" w:tplc="B3C4FB22">
      <w:start w:val="1"/>
      <w:numFmt w:val="bullet"/>
      <w:lvlText w:val=""/>
      <w:lvlJc w:val="left"/>
      <w:pPr>
        <w:ind w:left="2160" w:hanging="360"/>
      </w:pPr>
      <w:rPr>
        <w:rFonts w:ascii="Wingdings" w:hAnsi="Wingdings" w:hint="default"/>
      </w:rPr>
    </w:lvl>
    <w:lvl w:ilvl="3" w:tplc="F33287E2">
      <w:start w:val="1"/>
      <w:numFmt w:val="bullet"/>
      <w:lvlText w:val=""/>
      <w:lvlJc w:val="left"/>
      <w:pPr>
        <w:ind w:left="2880" w:hanging="360"/>
      </w:pPr>
      <w:rPr>
        <w:rFonts w:ascii="Symbol" w:hAnsi="Symbol" w:hint="default"/>
      </w:rPr>
    </w:lvl>
    <w:lvl w:ilvl="4" w:tplc="4D368AE0">
      <w:start w:val="1"/>
      <w:numFmt w:val="bullet"/>
      <w:lvlText w:val="o"/>
      <w:lvlJc w:val="left"/>
      <w:pPr>
        <w:ind w:left="3600" w:hanging="360"/>
      </w:pPr>
      <w:rPr>
        <w:rFonts w:ascii="Courier New" w:hAnsi="Courier New" w:hint="default"/>
      </w:rPr>
    </w:lvl>
    <w:lvl w:ilvl="5" w:tplc="1EA86C4C">
      <w:start w:val="1"/>
      <w:numFmt w:val="bullet"/>
      <w:lvlText w:val=""/>
      <w:lvlJc w:val="left"/>
      <w:pPr>
        <w:ind w:left="4320" w:hanging="360"/>
      </w:pPr>
      <w:rPr>
        <w:rFonts w:ascii="Wingdings" w:hAnsi="Wingdings" w:hint="default"/>
      </w:rPr>
    </w:lvl>
    <w:lvl w:ilvl="6" w:tplc="0D12F13A">
      <w:start w:val="1"/>
      <w:numFmt w:val="bullet"/>
      <w:lvlText w:val=""/>
      <w:lvlJc w:val="left"/>
      <w:pPr>
        <w:ind w:left="5040" w:hanging="360"/>
      </w:pPr>
      <w:rPr>
        <w:rFonts w:ascii="Symbol" w:hAnsi="Symbol" w:hint="default"/>
      </w:rPr>
    </w:lvl>
    <w:lvl w:ilvl="7" w:tplc="0770C04E">
      <w:start w:val="1"/>
      <w:numFmt w:val="bullet"/>
      <w:lvlText w:val="o"/>
      <w:lvlJc w:val="left"/>
      <w:pPr>
        <w:ind w:left="5760" w:hanging="360"/>
      </w:pPr>
      <w:rPr>
        <w:rFonts w:ascii="Courier New" w:hAnsi="Courier New" w:hint="default"/>
      </w:rPr>
    </w:lvl>
    <w:lvl w:ilvl="8" w:tplc="231AFDBE">
      <w:start w:val="1"/>
      <w:numFmt w:val="bullet"/>
      <w:lvlText w:val=""/>
      <w:lvlJc w:val="left"/>
      <w:pPr>
        <w:ind w:left="6480" w:hanging="360"/>
      </w:pPr>
      <w:rPr>
        <w:rFonts w:ascii="Wingdings" w:hAnsi="Wingdings" w:hint="default"/>
      </w:rPr>
    </w:lvl>
  </w:abstractNum>
  <w:abstractNum w:abstractNumId="1" w15:restartNumberingAfterBreak="0">
    <w:nsid w:val="6307541C"/>
    <w:multiLevelType w:val="hybridMultilevel"/>
    <w:tmpl w:val="FFFFFFFF"/>
    <w:lvl w:ilvl="0" w:tplc="440CD030">
      <w:start w:val="1"/>
      <w:numFmt w:val="bullet"/>
      <w:lvlText w:val=""/>
      <w:lvlJc w:val="left"/>
      <w:pPr>
        <w:ind w:left="720" w:hanging="360"/>
      </w:pPr>
      <w:rPr>
        <w:rFonts w:ascii="Symbol" w:hAnsi="Symbol" w:hint="default"/>
      </w:rPr>
    </w:lvl>
    <w:lvl w:ilvl="1" w:tplc="73668934">
      <w:start w:val="1"/>
      <w:numFmt w:val="bullet"/>
      <w:lvlText w:val="o"/>
      <w:lvlJc w:val="left"/>
      <w:pPr>
        <w:ind w:left="1440" w:hanging="360"/>
      </w:pPr>
      <w:rPr>
        <w:rFonts w:ascii="Courier New" w:hAnsi="Courier New" w:hint="default"/>
      </w:rPr>
    </w:lvl>
    <w:lvl w:ilvl="2" w:tplc="F02A31A6">
      <w:start w:val="1"/>
      <w:numFmt w:val="bullet"/>
      <w:lvlText w:val=""/>
      <w:lvlJc w:val="left"/>
      <w:pPr>
        <w:ind w:left="2160" w:hanging="360"/>
      </w:pPr>
      <w:rPr>
        <w:rFonts w:ascii="Wingdings" w:hAnsi="Wingdings" w:hint="default"/>
      </w:rPr>
    </w:lvl>
    <w:lvl w:ilvl="3" w:tplc="2AB00D04">
      <w:start w:val="1"/>
      <w:numFmt w:val="bullet"/>
      <w:lvlText w:val=""/>
      <w:lvlJc w:val="left"/>
      <w:pPr>
        <w:ind w:left="2880" w:hanging="360"/>
      </w:pPr>
      <w:rPr>
        <w:rFonts w:ascii="Symbol" w:hAnsi="Symbol" w:hint="default"/>
      </w:rPr>
    </w:lvl>
    <w:lvl w:ilvl="4" w:tplc="971EC49E">
      <w:start w:val="1"/>
      <w:numFmt w:val="bullet"/>
      <w:lvlText w:val="o"/>
      <w:lvlJc w:val="left"/>
      <w:pPr>
        <w:ind w:left="3600" w:hanging="360"/>
      </w:pPr>
      <w:rPr>
        <w:rFonts w:ascii="Courier New" w:hAnsi="Courier New" w:hint="default"/>
      </w:rPr>
    </w:lvl>
    <w:lvl w:ilvl="5" w:tplc="97E836DE">
      <w:start w:val="1"/>
      <w:numFmt w:val="bullet"/>
      <w:lvlText w:val=""/>
      <w:lvlJc w:val="left"/>
      <w:pPr>
        <w:ind w:left="4320" w:hanging="360"/>
      </w:pPr>
      <w:rPr>
        <w:rFonts w:ascii="Wingdings" w:hAnsi="Wingdings" w:hint="default"/>
      </w:rPr>
    </w:lvl>
    <w:lvl w:ilvl="6" w:tplc="75A26B90">
      <w:start w:val="1"/>
      <w:numFmt w:val="bullet"/>
      <w:lvlText w:val=""/>
      <w:lvlJc w:val="left"/>
      <w:pPr>
        <w:ind w:left="5040" w:hanging="360"/>
      </w:pPr>
      <w:rPr>
        <w:rFonts w:ascii="Symbol" w:hAnsi="Symbol" w:hint="default"/>
      </w:rPr>
    </w:lvl>
    <w:lvl w:ilvl="7" w:tplc="E5EC1E02">
      <w:start w:val="1"/>
      <w:numFmt w:val="bullet"/>
      <w:lvlText w:val="o"/>
      <w:lvlJc w:val="left"/>
      <w:pPr>
        <w:ind w:left="5760" w:hanging="360"/>
      </w:pPr>
      <w:rPr>
        <w:rFonts w:ascii="Courier New" w:hAnsi="Courier New" w:hint="default"/>
      </w:rPr>
    </w:lvl>
    <w:lvl w:ilvl="8" w:tplc="90F68F8A">
      <w:start w:val="1"/>
      <w:numFmt w:val="bullet"/>
      <w:lvlText w:val=""/>
      <w:lvlJc w:val="left"/>
      <w:pPr>
        <w:ind w:left="6480" w:hanging="360"/>
      </w:pPr>
      <w:rPr>
        <w:rFonts w:ascii="Wingdings" w:hAnsi="Wingdings" w:hint="default"/>
      </w:rPr>
    </w:lvl>
  </w:abstractNum>
  <w:num w:numId="1" w16cid:durableId="1346126260">
    <w:abstractNumId w:val="1"/>
  </w:num>
  <w:num w:numId="2" w16cid:durableId="944652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DB3F30"/>
    <w:rsid w:val="005FD82B"/>
    <w:rsid w:val="009559E2"/>
    <w:rsid w:val="017196C4"/>
    <w:rsid w:val="04E856D1"/>
    <w:rsid w:val="05265E8D"/>
    <w:rsid w:val="06DBDA7E"/>
    <w:rsid w:val="0A2CA39D"/>
    <w:rsid w:val="0D64445F"/>
    <w:rsid w:val="0DC89ACD"/>
    <w:rsid w:val="0EDB3F30"/>
    <w:rsid w:val="0EE61107"/>
    <w:rsid w:val="0F64136A"/>
    <w:rsid w:val="1348EA65"/>
    <w:rsid w:val="18112B26"/>
    <w:rsid w:val="18F1CD53"/>
    <w:rsid w:val="193DC99D"/>
    <w:rsid w:val="1F9B0601"/>
    <w:rsid w:val="21677C62"/>
    <w:rsid w:val="24C44443"/>
    <w:rsid w:val="253CF74A"/>
    <w:rsid w:val="2614185A"/>
    <w:rsid w:val="28603B73"/>
    <w:rsid w:val="296C55D1"/>
    <w:rsid w:val="2CB15A82"/>
    <w:rsid w:val="2F45C11F"/>
    <w:rsid w:val="305193AA"/>
    <w:rsid w:val="32A8CBCC"/>
    <w:rsid w:val="33F34916"/>
    <w:rsid w:val="34F49721"/>
    <w:rsid w:val="35B502A3"/>
    <w:rsid w:val="3800CDF8"/>
    <w:rsid w:val="3CCF64CF"/>
    <w:rsid w:val="404A327E"/>
    <w:rsid w:val="42F78455"/>
    <w:rsid w:val="430C38B2"/>
    <w:rsid w:val="44115A66"/>
    <w:rsid w:val="4462AD7D"/>
    <w:rsid w:val="490AB4B5"/>
    <w:rsid w:val="4C425577"/>
    <w:rsid w:val="543363A3"/>
    <w:rsid w:val="571612A2"/>
    <w:rsid w:val="5852E1E5"/>
    <w:rsid w:val="59FB7315"/>
    <w:rsid w:val="5DA3D958"/>
    <w:rsid w:val="5E2E1ACA"/>
    <w:rsid w:val="63F8B9F2"/>
    <w:rsid w:val="64D49F26"/>
    <w:rsid w:val="6A8A49E6"/>
    <w:rsid w:val="6B943EE3"/>
    <w:rsid w:val="6DC1EAA8"/>
    <w:rsid w:val="6F5DBB09"/>
    <w:rsid w:val="7280A76E"/>
    <w:rsid w:val="74025634"/>
    <w:rsid w:val="75B84830"/>
    <w:rsid w:val="7A41E9BD"/>
    <w:rsid w:val="7B8C6707"/>
    <w:rsid w:val="7E5A8470"/>
    <w:rsid w:val="7E905A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3F30"/>
  <w15:chartTrackingRefBased/>
  <w15:docId w15:val="{2BE92509-7A30-44D1-868F-7B3F1B0C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uiPriority w:val="1"/>
    <w:rsid w:val="6F5DB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DC9192224644B8C4F4E267A704D91" ma:contentTypeVersion="20" ma:contentTypeDescription="Create a new document." ma:contentTypeScope="" ma:versionID="43e0041930996ee84e6e6a38ca248dbb">
  <xsd:schema xmlns:xsd="http://www.w3.org/2001/XMLSchema" xmlns:xs="http://www.w3.org/2001/XMLSchema" xmlns:p="http://schemas.microsoft.com/office/2006/metadata/properties" xmlns:ns2="0063f72e-ace3-48fb-9c1f-5b513408b31f" xmlns:ns3="670df5a9-8162-4c53-b331-34dfe1f65d25" xmlns:ns4="b413c3fd-5a3b-4239-b985-69032e371c04" xmlns:ns5="a8f60570-4bd3-4f2b-950b-a996de8ab151" xmlns:ns6="44904060-72e8-423a-9bf2-1b4954987f98" xmlns:ns7="aaacb922-5235-4a66-b188-303b9b46fbd7" targetNamespace="http://schemas.microsoft.com/office/2006/metadata/properties" ma:root="true" ma:fieldsID="af8982e1d25c358f7dc14486ed3313da" ns2:_="" ns3:_="" ns4:_="" ns5:_="" ns6:_="" ns7:_="">
    <xsd:import namespace="0063f72e-ace3-48fb-9c1f-5b513408b31f"/>
    <xsd:import namespace="670df5a9-8162-4c53-b331-34dfe1f65d25"/>
    <xsd:import namespace="b413c3fd-5a3b-4239-b985-69032e371c04"/>
    <xsd:import namespace="a8f60570-4bd3-4f2b-950b-a996de8ab151"/>
    <xsd:import namespace="44904060-72e8-423a-9bf2-1b4954987f98"/>
    <xsd:import namespace="aaacb922-5235-4a66-b188-303b9b46fbd7"/>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MediaServiceMetadata" minOccurs="0"/>
                <xsd:element ref="ns6:MediaServiceFastMetadata" minOccurs="0"/>
                <xsd:element ref="ns6:MediaServiceAutoKeyPoints" minOccurs="0"/>
                <xsd:element ref="ns6:MediaServiceKeyPoints" minOccurs="0"/>
                <xsd:element ref="ns7:LegacyData" minOccurs="0"/>
                <xsd:element ref="ns3:SharedWithUsers" minOccurs="0"/>
                <xsd:element ref="ns3:SharedWithDetails" minOccurs="0"/>
                <xsd:element ref="ns3:_dlc_DocId" minOccurs="0"/>
                <xsd:element ref="ns3:_dlc_DocIdUrl" minOccurs="0"/>
                <xsd:element ref="ns3:_dlc_DocIdPersistId" minOccurs="0"/>
                <xsd:element ref="ns6:MediaServiceAutoTags" minOccurs="0"/>
                <xsd:element ref="ns6:MediaServiceGenerationTime" minOccurs="0"/>
                <xsd:element ref="ns6:MediaServiceEventHashCode" minOccurs="0"/>
                <xsd:element ref="ns6:MediaServiceDateTaken" minOccurs="0"/>
                <xsd:element ref="ns6:MediaServiceLocation" minOccurs="0"/>
                <xsd:element ref="ns6:MediaServiceOCR"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670df5a9-8162-4c53-b331-34dfe1f65d25"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Trade Investment and Negotiations|5b2bd353-ee24-4625-b365-0e49f4d732cc"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c3ec1c1-d99c-4eff-938b-95f1d6892357}" ma:internalName="TaxCatchAll" ma:showField="CatchAllData" ma:web="670df5a9-8162-4c53-b331-34dfe1f65d2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c3ec1c1-d99c-4eff-938b-95f1d6892357}" ma:internalName="TaxCatchAllLabel" ma:readOnly="true" ma:showField="CatchAllDataLabel" ma:web="670df5a9-8162-4c53-b331-34dfe1f65d2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04060-72e8-423a-9bf2-1b4954987f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2"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2022-07-22T12:50:25+00:00</Date_x0020_Opened>
    <m975189f4ba442ecbf67d4147307b177 xmlns="670df5a9-8162-4c53-b331-34dfe1f65d25">
      <Terms xmlns="http://schemas.microsoft.com/office/infopath/2007/PartnerControls">
        <TermInfo xmlns="http://schemas.microsoft.com/office/infopath/2007/PartnerControls">
          <TermName xmlns="http://schemas.microsoft.com/office/infopath/2007/PartnerControls">Trade Investment and Negotiations</TermName>
          <TermId xmlns="http://schemas.microsoft.com/office/infopath/2007/PartnerControls">5b2bd353-ee24-4625-b365-0e49f4d732cc</TermId>
        </TermInfo>
      </Terms>
    </m975189f4ba442ecbf67d4147307b177>
    <LegacyData xmlns="aaacb922-5235-4a66-b188-303b9b46fbd7" xsi:nil="true"/>
    <Descriptor xmlns="0063f72e-ace3-48fb-9c1f-5b513408b31f" xsi:nil="true"/>
    <Security_x0020_Classification xmlns="0063f72e-ace3-48fb-9c1f-5b513408b31f">OFFICIAL</Security_x0020_Classification>
    <TaxCatchAll xmlns="670df5a9-8162-4c53-b331-34dfe1f65d25">
      <Value>1</Value>
    </TaxCatchAll>
    <Retention_x0020_Label xmlns="a8f60570-4bd3-4f2b-950b-a996de8ab151" xsi:nil="true"/>
    <Date_x0020_Closed xmlns="b413c3fd-5a3b-4239-b985-69032e371c04" xsi:nil="true"/>
    <_dlc_DocId xmlns="670df5a9-8162-4c53-b331-34dfe1f65d25">MSR26HJTZYYK-1820805368-415242</_dlc_DocId>
    <_dlc_DocIdUrl xmlns="670df5a9-8162-4c53-b331-34dfe1f65d25">
      <Url>https://beisgov.sharepoint.com/sites/TING/_layouts/15/DocIdRedir.aspx?ID=MSR26HJTZYYK-1820805368-415242</Url>
      <Description>MSR26HJTZYYK-1820805368-415242</Description>
    </_dlc_DocIdUrl>
  </documentManagement>
</p:properties>
</file>

<file path=customXml/itemProps1.xml><?xml version="1.0" encoding="utf-8"?>
<ds:datastoreItem xmlns:ds="http://schemas.openxmlformats.org/officeDocument/2006/customXml" ds:itemID="{27972235-F789-4B78-BE75-30D4A61D203E}"/>
</file>

<file path=customXml/itemProps2.xml><?xml version="1.0" encoding="utf-8"?>
<ds:datastoreItem xmlns:ds="http://schemas.openxmlformats.org/officeDocument/2006/customXml" ds:itemID="{A5DB75D6-5E2D-438D-AAB2-BF9A2F4B9343}"/>
</file>

<file path=customXml/itemProps3.xml><?xml version="1.0" encoding="utf-8"?>
<ds:datastoreItem xmlns:ds="http://schemas.openxmlformats.org/officeDocument/2006/customXml" ds:itemID="{797AB8FA-7E42-48B6-AEDD-D04FE31FAA17}"/>
</file>

<file path=customXml/itemProps4.xml><?xml version="1.0" encoding="utf-8"?>
<ds:datastoreItem xmlns:ds="http://schemas.openxmlformats.org/officeDocument/2006/customXml" ds:itemID="{292F3305-B1AD-4FC1-92B6-1E1690C76177}"/>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1866</Characters>
  <Application>Microsoft Office Word</Application>
  <DocSecurity>4</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Spearpoint Walsh, Emily (Trade and Investment Negotiations)</dc:creator>
  <cp:keywords/>
  <dc:description/>
  <cp:lastModifiedBy>Spearpoint Walsh, Emily (Trade and Investment Negotiations)</cp:lastModifiedBy>
  <cp:revision>12</cp:revision>
  <dcterms:created xsi:type="dcterms:W3CDTF">2022-06-15T12:58:00Z</dcterms:created>
  <dcterms:modified xsi:type="dcterms:W3CDTF">2022-06-23T13:25:00Z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2022-06-15T12:58:02Z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e9536ccd-095b-426d-ace3-5058220f55fe</vt:lpwstr>
  </property>
  <property fmtid="{D5CDD505-2E9C-101B-9397-08002B2CF9AE}" pid="8" name="MSIP_Label_ba62f585-b40f-4ab9-bafe-39150f03d124_ContentBits">
    <vt:lpwstr>0</vt:lpwstr>
  </property>
  <property fmtid="{D5CDD505-2E9C-101B-9397-08002B2CF9AE}" pid="9" name="ContentTypeId">
    <vt:lpwstr>0x010100FBDDC9192224644B8C4F4E267A704D91</vt:lpwstr>
  </property>
  <property fmtid="{D5CDD505-2E9C-101B-9397-08002B2CF9AE}" pid="10" name="Business Unit">
    <vt:lpwstr>1;#Trade Investment and Negotiations|5b2bd353-ee24-4625-b365-0e49f4d732cc</vt:lpwstr>
  </property>
  <property fmtid="{D5CDD505-2E9C-101B-9397-08002B2CF9AE}" pid="11" name="_dlc_DocIdItemGuid">
    <vt:lpwstr>632214e8-5b5c-4e23-978a-0bff699b7bc2</vt:lpwstr>
  </property>
</Properties>
</file>